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rFonts w:ascii="Arial" w:hAnsi="Arial"/>
          <w:b/>
          <w:color w:val="000000"/>
          <w:sz w:val="40"/>
        </w:rPr>
        <w:t>DDS Ordem e Limpeza Programa 5S</w:t>
      </w:r>
    </w:p>
    <w:p>
      <w:pPr>
        <w:jc w:val="center"/>
      </w:pPr>
      <w:r>
        <w:t>Data: ___/___/______   Facilitador: ____________________   Duração: 10 minutos</w:t>
      </w:r>
    </w:p>
    <w:p>
      <w:pPr>
        <w:pStyle w:val="Heading1"/>
      </w:pPr>
      <w:r>
        <w:rPr>
          <w:rFonts w:ascii="Arial" w:hAnsi="Arial"/>
          <w:color w:val="000000"/>
        </w:rPr>
        <w:t>Objetivo</w:t>
      </w:r>
    </w:p>
    <w:p>
      <w:pPr>
        <w:spacing w:after="100"/>
      </w:pPr>
      <w:r>
        <w:t>Reconhecer como desorganização, resíduos e materiais fora do lugar aumentam o risco de quedas, cortes, incêndios, colisões e atrasos em emergências.</w:t>
      </w:r>
    </w:p>
    <w:p>
      <w:pPr>
        <w:pStyle w:val="Heading1"/>
      </w:pPr>
      <w:r>
        <w:rPr>
          <w:rFonts w:ascii="Arial" w:hAnsi="Arial"/>
          <w:color w:val="000000"/>
        </w:rPr>
        <w:t>Situação para discussão</w:t>
      </w:r>
    </w:p>
    <w:p>
      <w:pPr>
        <w:spacing w:after="100"/>
      </w:pPr>
      <w:r>
        <w:t>No fim do turno, uma extensão ficou atravessada no corredor, duas caixas foram colocadas diante do extintor e havia óleo próximo a uma máquina. Cada item parecia pequeno, mas o conjunto criou três riscos: tropeço, acesso bloqueado ao equipamento de emergência e escorregamento. Ordem e limpeza não são tarefas para depois; fazem parte da execução segura do trabalho.</w:t>
      </w:r>
    </w:p>
    <w:p>
      <w:pPr>
        <w:pStyle w:val="Heading1"/>
      </w:pPr>
      <w:r>
        <w:rPr>
          <w:rFonts w:ascii="Arial" w:hAnsi="Arial"/>
          <w:color w:val="000000"/>
        </w:rPr>
        <w:t>Os cinco sensos aplicados à segurança</w:t>
      </w:r>
    </w:p>
    <w:p>
      <w:pPr>
        <w:pStyle w:val="ListBullet"/>
        <w:spacing w:after="100"/>
      </w:pPr>
      <w:r>
        <w:t>Seiri - utilização: mantenha na área apenas materiais, ferramentas e documentos necessários. Retire sucata, embalagens e itens sem uso definido.</w:t>
      </w:r>
    </w:p>
    <w:p>
      <w:pPr>
        <w:pStyle w:val="ListBullet"/>
        <w:spacing w:after="100"/>
      </w:pPr>
      <w:r>
        <w:t>Seiton - organização: defina local identificado para cada objeto. Corredores, saídas, painéis elétricos, extintores e rotas de fuga devem permanecer livres.</w:t>
      </w:r>
    </w:p>
    <w:p>
      <w:pPr>
        <w:pStyle w:val="ListBullet"/>
        <w:spacing w:after="100"/>
      </w:pPr>
      <w:r>
        <w:t>Seiso - limpeza: elimine sujeira e também investigue sua origem. Vazamentos recorrentes precisam de correção, não apenas de pano ou serragem.</w:t>
      </w:r>
    </w:p>
    <w:p>
      <w:pPr>
        <w:pStyle w:val="ListBullet"/>
        <w:spacing w:after="100"/>
      </w:pPr>
      <w:r>
        <w:t>Seiketsu - padronização: use sinalização, identificação, limites de estoque, rotinas e responsáveis para manter o padrão.</w:t>
      </w:r>
    </w:p>
    <w:p>
      <w:pPr>
        <w:pStyle w:val="ListBullet"/>
        <w:spacing w:after="100"/>
      </w:pPr>
      <w:r>
        <w:t>Shitsuke - disciplina: cumpra o padrão todos os dias, comunique desvios e corrija pequenas falhas antes que se transformem em acidente.</w:t>
      </w:r>
    </w:p>
    <w:p>
      <w:pPr>
        <w:pStyle w:val="Heading1"/>
      </w:pPr>
      <w:r>
        <w:rPr>
          <w:rFonts w:ascii="Arial" w:hAnsi="Arial"/>
          <w:color w:val="000000"/>
        </w:rPr>
        <w:t>Checklist prático da equipe</w:t>
      </w:r>
    </w:p>
    <w:p>
      <w:pPr>
        <w:pStyle w:val="ListBullet"/>
        <w:spacing w:after="100"/>
      </w:pPr>
      <w:r>
        <w:t>Pisos e escadas estão secos, desobstruídos e sem materiais soltos?</w:t>
      </w:r>
    </w:p>
    <w:p>
      <w:pPr>
        <w:pStyle w:val="ListBullet"/>
        <w:spacing w:after="100"/>
      </w:pPr>
      <w:r>
        <w:t>Ferramentas foram inspecionadas e devolvidas ao local definido?</w:t>
      </w:r>
    </w:p>
    <w:p>
      <w:pPr>
        <w:pStyle w:val="ListBullet"/>
        <w:spacing w:after="100"/>
      </w:pPr>
      <w:r>
        <w:t>Resíduos estão segregados e armazenados em recipientes adequados?</w:t>
      </w:r>
    </w:p>
    <w:p>
      <w:pPr>
        <w:pStyle w:val="ListBullet"/>
        <w:spacing w:after="100"/>
      </w:pPr>
      <w:r>
        <w:t>Extintores, hidrantes, chuveiros de emergência e painéis estão acessíveis?</w:t>
      </w:r>
    </w:p>
    <w:p>
      <w:pPr>
        <w:pStyle w:val="ListBullet"/>
        <w:spacing w:after="100"/>
      </w:pPr>
      <w:r>
        <w:t>Cabos, mangueiras e extensões estão protegidos contra tropeço e danos?</w:t>
      </w:r>
    </w:p>
    <w:p>
      <w:pPr>
        <w:pStyle w:val="ListBullet"/>
        <w:spacing w:after="100"/>
      </w:pPr>
      <w:r>
        <w:t>Pilhas e prateleiras estão estáveis e dentro dos limites definidos?</w:t>
      </w:r>
    </w:p>
    <w:p>
      <w:pPr>
        <w:pStyle w:val="ListBullet"/>
        <w:spacing w:after="100"/>
      </w:pPr>
      <w:r>
        <w:t>Vazamentos, embalagens danificadas e recipientes sem identificação foram comunicados?</w:t>
      </w:r>
    </w:p>
    <w:p>
      <w:pPr>
        <w:pStyle w:val="Heading1"/>
      </w:pPr>
      <w:r>
        <w:rPr>
          <w:rFonts w:ascii="Arial" w:hAnsi="Arial"/>
          <w:color w:val="000000"/>
        </w:rPr>
        <w:t>Perguntas para o diálogo</w:t>
      </w:r>
    </w:p>
    <w:p>
      <w:pPr>
        <w:pStyle w:val="ListBullet"/>
        <w:spacing w:after="100"/>
      </w:pPr>
      <w:r>
        <w:t>Qual ponto do setor apresenta maior risco de desorganização?</w:t>
      </w:r>
    </w:p>
    <w:p>
      <w:pPr>
        <w:pStyle w:val="ListBullet"/>
        <w:spacing w:after="100"/>
      </w:pPr>
      <w:r>
        <w:t>O que pode ser retirado ou reposicionado ainda hoje?</w:t>
      </w:r>
    </w:p>
    <w:p>
      <w:pPr>
        <w:pStyle w:val="ListBullet"/>
        <w:spacing w:after="100"/>
      </w:pPr>
      <w:r>
        <w:t>Quem deve ser acionado quando houver vazamento ou obstrução que a equipe não possa corrigir com segurança?</w:t>
      </w:r>
    </w:p>
    <w:p>
      <w:pPr>
        <w:pStyle w:val="Heading1"/>
      </w:pPr>
      <w:r>
        <w:rPr>
          <w:rFonts w:ascii="Arial" w:hAnsi="Arial"/>
          <w:color w:val="000000"/>
        </w:rPr>
        <w:t>Conclusão e compromisso</w:t>
      </w:r>
    </w:p>
    <w:p>
      <w:pPr>
        <w:spacing w:after="100"/>
      </w:pPr>
      <w:r>
        <w:t>Cada pessoa deve entregar o posto em condição segura para o próximo trabalhador. Ao terminar uma tarefa, recolha ferramentas, descarte resíduos corretamente, libere passagens e comunique anormalidades. O compromisso de hoje é corrigir imediatamente o que estiver ao nosso alcance e registrar o que depender de manutenção ou de outra área.</w:t>
      </w:r>
    </w:p>
    <w:p>
      <w:pPr>
        <w:pStyle w:val="Heading1"/>
      </w:pPr>
      <w:r>
        <w:t>Registro de participantes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  <w:shd w:fill="163F59"/>
            <w:vAlign w:val="center"/>
          </w:tcPr>
          <w:p>
            <w:r>
              <w:rPr>
                <w:b/>
                <w:color w:val="FFFFFF"/>
              </w:rPr>
              <w:t>Nome completo</w:t>
            </w:r>
          </w:p>
        </w:tc>
        <w:tc>
          <w:tcPr>
            <w:tcW w:type="dxa" w:w="3400"/>
            <w:shd w:fill="163F59"/>
            <w:vAlign w:val="center"/>
          </w:tcPr>
          <w:p>
            <w:r>
              <w:rPr>
                <w:b/>
                <w:color w:val="FFFFFF"/>
              </w:rPr>
              <w:t>Função</w:t>
            </w:r>
          </w:p>
        </w:tc>
        <w:tc>
          <w:tcPr>
            <w:tcW w:type="dxa" w:w="3400"/>
            <w:shd w:fill="163F59"/>
            <w:vAlign w:val="center"/>
          </w:tcPr>
          <w:p>
            <w:r>
              <w:rPr>
                <w:b/>
                <w:color w:val="FFFFFF"/>
              </w:rPr>
              <w:t>Assinatura</w:t>
            </w:r>
          </w:p>
        </w:tc>
      </w:tr>
      <w:tr>
        <w:trPr>
          <w:trHeight w:val="510"/>
        </w:trPr>
        <w:tc>
          <w:tcPr>
            <w:tcW w:type="dxa" w:w="3400"/>
          </w:tcPr>
          <w:p/>
        </w:tc>
        <w:tc>
          <w:tcPr>
            <w:tcW w:type="dxa" w:w="3400"/>
          </w:tcPr>
          <w:p/>
        </w:tc>
        <w:tc>
          <w:tcPr>
            <w:tcW w:type="dxa" w:w="3400"/>
          </w:tcPr>
          <w:p/>
        </w:tc>
      </w:tr>
      <w:tr>
        <w:trPr>
          <w:trHeight w:val="510"/>
        </w:trPr>
        <w:tc>
          <w:tcPr>
            <w:tcW w:type="dxa" w:w="3400"/>
          </w:tcPr>
          <w:p/>
        </w:tc>
        <w:tc>
          <w:tcPr>
            <w:tcW w:type="dxa" w:w="3400"/>
          </w:tcPr>
          <w:p/>
        </w:tc>
        <w:tc>
          <w:tcPr>
            <w:tcW w:type="dxa" w:w="3400"/>
          </w:tcPr>
          <w:p/>
        </w:tc>
      </w:tr>
      <w:tr>
        <w:trPr>
          <w:trHeight w:val="510"/>
        </w:trPr>
        <w:tc>
          <w:tcPr>
            <w:tcW w:type="dxa" w:w="3400"/>
          </w:tcPr>
          <w:p/>
        </w:tc>
        <w:tc>
          <w:tcPr>
            <w:tcW w:type="dxa" w:w="3400"/>
          </w:tcPr>
          <w:p/>
        </w:tc>
        <w:tc>
          <w:tcPr>
            <w:tcW w:type="dxa" w:w="3400"/>
          </w:tcPr>
          <w:p/>
        </w:tc>
      </w:tr>
      <w:tr>
        <w:trPr>
          <w:trHeight w:val="510"/>
        </w:trPr>
        <w:tc>
          <w:tcPr>
            <w:tcW w:type="dxa" w:w="3400"/>
          </w:tcPr>
          <w:p/>
        </w:tc>
        <w:tc>
          <w:tcPr>
            <w:tcW w:type="dxa" w:w="3400"/>
          </w:tcPr>
          <w:p/>
        </w:tc>
        <w:tc>
          <w:tcPr>
            <w:tcW w:type="dxa" w:w="3400"/>
          </w:tcPr>
          <w:p/>
        </w:tc>
      </w:tr>
      <w:tr>
        <w:trPr>
          <w:trHeight w:val="510"/>
        </w:trPr>
        <w:tc>
          <w:tcPr>
            <w:tcW w:type="dxa" w:w="3400"/>
          </w:tcPr>
          <w:p/>
        </w:tc>
        <w:tc>
          <w:tcPr>
            <w:tcW w:type="dxa" w:w="3400"/>
          </w:tcPr>
          <w:p/>
        </w:tc>
        <w:tc>
          <w:tcPr>
            <w:tcW w:type="dxa" w:w="3400"/>
          </w:tcPr>
          <w:p/>
        </w:tc>
      </w:tr>
      <w:tr>
        <w:trPr>
          <w:trHeight w:val="510"/>
        </w:trPr>
        <w:tc>
          <w:tcPr>
            <w:tcW w:type="dxa" w:w="3400"/>
          </w:tcPr>
          <w:p/>
        </w:tc>
        <w:tc>
          <w:tcPr>
            <w:tcW w:type="dxa" w:w="3400"/>
          </w:tcPr>
          <w:p/>
        </w:tc>
        <w:tc>
          <w:tcPr>
            <w:tcW w:type="dxa" w:w="3400"/>
          </w:tcPr>
          <w:p/>
        </w:tc>
      </w:tr>
      <w:tr>
        <w:trPr>
          <w:trHeight w:val="510"/>
        </w:trPr>
        <w:tc>
          <w:tcPr>
            <w:tcW w:type="dxa" w:w="3400"/>
          </w:tcPr>
          <w:p/>
        </w:tc>
        <w:tc>
          <w:tcPr>
            <w:tcW w:type="dxa" w:w="3400"/>
          </w:tcPr>
          <w:p/>
        </w:tc>
        <w:tc>
          <w:tcPr>
            <w:tcW w:type="dxa" w:w="3400"/>
          </w:tcPr>
          <w:p/>
        </w:tc>
      </w:tr>
      <w:tr>
        <w:trPr>
          <w:trHeight w:val="510"/>
        </w:trPr>
        <w:tc>
          <w:tcPr>
            <w:tcW w:type="dxa" w:w="3400"/>
          </w:tcPr>
          <w:p/>
        </w:tc>
        <w:tc>
          <w:tcPr>
            <w:tcW w:type="dxa" w:w="3400"/>
          </w:tcPr>
          <w:p/>
        </w:tc>
        <w:tc>
          <w:tcPr>
            <w:tcW w:type="dxa" w:w="3400"/>
          </w:tcPr>
          <w:p/>
        </w:tc>
      </w:tr>
      <w:tr>
        <w:trPr>
          <w:trHeight w:val="510"/>
        </w:trPr>
        <w:tc>
          <w:tcPr>
            <w:tcW w:type="dxa" w:w="3400"/>
          </w:tcPr>
          <w:p/>
        </w:tc>
        <w:tc>
          <w:tcPr>
            <w:tcW w:type="dxa" w:w="3400"/>
          </w:tcPr>
          <w:p/>
        </w:tc>
        <w:tc>
          <w:tcPr>
            <w:tcW w:type="dxa" w:w="3400"/>
          </w:tcPr>
          <w:p/>
        </w:tc>
      </w:tr>
    </w:tbl>
    <w:p>
      <w:pPr>
        <w:spacing w:before="200"/>
      </w:pPr>
      <w:r>
        <w:rPr>
          <w:i/>
          <w:color w:val="5A5A5A"/>
          <w:sz w:val="17"/>
        </w:rPr>
        <w:t>Nota: adapte este DDS ao PGR, aos procedimentos internos e aos riscos reais da atividade.</w:t>
      </w:r>
    </w:p>
    <w:sectPr w:rsidR="00FC693F" w:rsidRPr="0006063C" w:rsidSect="00034616"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